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DB" w:rsidRDefault="00A627DB" w:rsidP="00CE2E0A">
      <w:pPr>
        <w:jc w:val="center"/>
        <w:rPr>
          <w:b/>
          <w:sz w:val="28"/>
          <w:szCs w:val="28"/>
        </w:rPr>
      </w:pPr>
      <w:r w:rsidRPr="00CE2E0A">
        <w:rPr>
          <w:b/>
          <w:sz w:val="28"/>
          <w:szCs w:val="28"/>
        </w:rPr>
        <w:t>LA CARA CAMBIANTE DE TEOTIHUACÁN</w:t>
      </w:r>
    </w:p>
    <w:p w:rsidR="00A627DB" w:rsidRDefault="00A627DB" w:rsidP="00CE2E0A">
      <w:pPr>
        <w:jc w:val="center"/>
        <w:rPr>
          <w:b/>
          <w:sz w:val="28"/>
          <w:szCs w:val="28"/>
        </w:rPr>
      </w:pPr>
      <w:r>
        <w:rPr>
          <w:b/>
          <w:sz w:val="28"/>
          <w:szCs w:val="28"/>
        </w:rPr>
        <w:t>William Breen Murray</w:t>
      </w:r>
    </w:p>
    <w:p w:rsidR="00A627DB" w:rsidRPr="005924B2" w:rsidRDefault="00A627DB" w:rsidP="005924B2">
      <w:pPr>
        <w:spacing w:after="0" w:line="240" w:lineRule="auto"/>
        <w:jc w:val="center"/>
        <w:rPr>
          <w:sz w:val="28"/>
          <w:szCs w:val="28"/>
        </w:rPr>
      </w:pPr>
      <w:r w:rsidRPr="005924B2">
        <w:rPr>
          <w:sz w:val="28"/>
          <w:szCs w:val="28"/>
        </w:rPr>
        <w:t>Universidad de Monterrey</w:t>
      </w:r>
    </w:p>
    <w:p w:rsidR="00A627DB" w:rsidRPr="005924B2" w:rsidRDefault="00A627DB" w:rsidP="005924B2">
      <w:pPr>
        <w:spacing w:after="0" w:line="240" w:lineRule="auto"/>
        <w:jc w:val="center"/>
        <w:rPr>
          <w:sz w:val="28"/>
          <w:szCs w:val="28"/>
        </w:rPr>
      </w:pPr>
      <w:r w:rsidRPr="005924B2">
        <w:rPr>
          <w:sz w:val="28"/>
          <w:szCs w:val="28"/>
        </w:rPr>
        <w:t>San Pedro Garza García, Nuevo León</w:t>
      </w:r>
    </w:p>
    <w:p w:rsidR="00A627DB" w:rsidRPr="005924B2" w:rsidRDefault="00A627DB" w:rsidP="005924B2">
      <w:pPr>
        <w:spacing w:after="0" w:line="240" w:lineRule="auto"/>
        <w:jc w:val="center"/>
        <w:rPr>
          <w:sz w:val="28"/>
          <w:szCs w:val="28"/>
          <w:lang w:val="en-US"/>
        </w:rPr>
      </w:pPr>
      <w:r w:rsidRPr="005924B2">
        <w:rPr>
          <w:sz w:val="28"/>
          <w:szCs w:val="28"/>
          <w:lang w:val="en-US"/>
        </w:rPr>
        <w:t>Tel: (81)8347-4667</w:t>
      </w:r>
    </w:p>
    <w:p w:rsidR="00A627DB" w:rsidRPr="005924B2" w:rsidRDefault="00A627DB" w:rsidP="005924B2">
      <w:pPr>
        <w:spacing w:after="0" w:line="240" w:lineRule="auto"/>
        <w:jc w:val="center"/>
        <w:rPr>
          <w:sz w:val="28"/>
          <w:szCs w:val="28"/>
          <w:lang w:val="en-US"/>
        </w:rPr>
      </w:pPr>
      <w:r w:rsidRPr="005924B2">
        <w:rPr>
          <w:sz w:val="28"/>
          <w:szCs w:val="28"/>
          <w:lang w:val="en-US"/>
        </w:rPr>
        <w:t>Email: wbmurray1@yahoo.com</w:t>
      </w:r>
    </w:p>
    <w:p w:rsidR="00A627DB" w:rsidRPr="00367A5A" w:rsidRDefault="00A627DB" w:rsidP="008060C1">
      <w:pPr>
        <w:rPr>
          <w:sz w:val="28"/>
          <w:szCs w:val="28"/>
          <w:lang w:val="en-US"/>
        </w:rPr>
      </w:pPr>
    </w:p>
    <w:p w:rsidR="00A627DB" w:rsidRPr="00367A5A" w:rsidRDefault="00A627DB" w:rsidP="00367A5A">
      <w:pPr>
        <w:spacing w:after="120" w:line="240" w:lineRule="auto"/>
        <w:jc w:val="both"/>
        <w:rPr>
          <w:sz w:val="28"/>
          <w:szCs w:val="28"/>
          <w:lang w:val="en-US"/>
        </w:rPr>
      </w:pPr>
      <w:r w:rsidRPr="00367A5A">
        <w:rPr>
          <w:sz w:val="28"/>
          <w:szCs w:val="28"/>
          <w:lang w:val="en-US"/>
        </w:rPr>
        <w:t>Resumen</w:t>
      </w:r>
    </w:p>
    <w:p w:rsidR="00A627DB" w:rsidRDefault="00A627DB" w:rsidP="00367A5A">
      <w:pPr>
        <w:spacing w:after="120" w:line="240" w:lineRule="auto"/>
        <w:ind w:firstLine="284"/>
        <w:jc w:val="both"/>
        <w:rPr>
          <w:sz w:val="24"/>
          <w:szCs w:val="24"/>
        </w:rPr>
      </w:pPr>
      <w:r w:rsidRPr="00F30DA9">
        <w:rPr>
          <w:sz w:val="24"/>
          <w:szCs w:val="24"/>
        </w:rPr>
        <w:t>La restauración de la pirámide del sol, comisionada para la celebración del centenario de la independencia nacional en 1910, convirtió a la antigua Teotihuacán en un símbolo importante de la identidad mexicana. Desde entonces Teotihuacán ha sido uno de los objetivos más visitado por los turistas (tanto nacional como extranjeros) que compraron tarjetas postales como recuerdo de su visita. Las tarjetas postales que retratan el sitio, registran un desfile de imágenes que muestra su cara cambiante.</w:t>
      </w:r>
      <w:r>
        <w:rPr>
          <w:sz w:val="24"/>
          <w:szCs w:val="24"/>
        </w:rPr>
        <w:t xml:space="preserve"> R</w:t>
      </w:r>
      <w:r w:rsidRPr="00F30DA9">
        <w:rPr>
          <w:sz w:val="24"/>
          <w:szCs w:val="24"/>
        </w:rPr>
        <w:t xml:space="preserve">egistran las caras cambiantes del mismo entorno del sitio a lo largo de casi todo el siglo XX. </w:t>
      </w:r>
    </w:p>
    <w:p w:rsidR="00A627DB" w:rsidRPr="00F30DA9" w:rsidRDefault="00A627DB" w:rsidP="00367A5A">
      <w:pPr>
        <w:spacing w:after="120" w:line="240" w:lineRule="auto"/>
        <w:ind w:firstLine="284"/>
        <w:jc w:val="both"/>
        <w:rPr>
          <w:sz w:val="24"/>
          <w:szCs w:val="24"/>
        </w:rPr>
      </w:pPr>
      <w:r w:rsidRPr="00F30DA9">
        <w:rPr>
          <w:sz w:val="24"/>
          <w:szCs w:val="24"/>
        </w:rPr>
        <w:t xml:space="preserve">Su diversidad y valor se debe en parte por la documentación que proporciona sobre la excavación y descubrimientos arqueológicos pero refleja también la evolución gráfica de la tarjeta postal durante este lapso.     </w:t>
      </w:r>
    </w:p>
    <w:p w:rsidR="00A627DB" w:rsidRPr="00F30DA9" w:rsidRDefault="00A627DB" w:rsidP="004F4F2B">
      <w:pPr>
        <w:spacing w:after="120" w:line="240" w:lineRule="auto"/>
        <w:ind w:firstLine="284"/>
        <w:jc w:val="both"/>
        <w:rPr>
          <w:sz w:val="24"/>
          <w:szCs w:val="24"/>
        </w:rPr>
      </w:pPr>
      <w:r w:rsidRPr="00F30DA9">
        <w:rPr>
          <w:sz w:val="24"/>
          <w:szCs w:val="24"/>
        </w:rPr>
        <w:t xml:space="preserve">Las primeras tarjetas postales de Teotihuacán son fotografías que </w:t>
      </w:r>
      <w:r>
        <w:rPr>
          <w:sz w:val="24"/>
          <w:szCs w:val="24"/>
        </w:rPr>
        <w:t>ilustran la pirámide del sol y m</w:t>
      </w:r>
      <w:r w:rsidRPr="00F30DA9">
        <w:rPr>
          <w:sz w:val="24"/>
          <w:szCs w:val="24"/>
        </w:rPr>
        <w:t>uestran el sitio antes de la excavación de las estructuras aled</w:t>
      </w:r>
      <w:r>
        <w:rPr>
          <w:sz w:val="24"/>
          <w:szCs w:val="24"/>
        </w:rPr>
        <w:t>añas sobre la gran calzada. En est</w:t>
      </w:r>
      <w:r w:rsidRPr="00F30DA9">
        <w:rPr>
          <w:sz w:val="24"/>
          <w:szCs w:val="24"/>
        </w:rPr>
        <w:t xml:space="preserve">as vistas tempranas de Teotihuacán, sobresale </w:t>
      </w:r>
      <w:r>
        <w:rPr>
          <w:sz w:val="24"/>
          <w:szCs w:val="24"/>
        </w:rPr>
        <w:t xml:space="preserve">el carácter rural de su entorno por la presencia de campos de siembra en el mismo sitio. </w:t>
      </w:r>
    </w:p>
    <w:p w:rsidR="00A627DB" w:rsidRDefault="00A627DB" w:rsidP="004F4F2B">
      <w:pPr>
        <w:spacing w:after="120" w:line="240" w:lineRule="auto"/>
        <w:ind w:firstLine="284"/>
        <w:jc w:val="both"/>
        <w:rPr>
          <w:sz w:val="24"/>
          <w:szCs w:val="24"/>
        </w:rPr>
      </w:pPr>
      <w:r w:rsidRPr="00F30DA9">
        <w:rPr>
          <w:sz w:val="24"/>
          <w:szCs w:val="24"/>
        </w:rPr>
        <w:t>El Templo de Quetzalcoátl fue restaurado en un proyecto dirigido por el arqueólo</w:t>
      </w:r>
      <w:r>
        <w:rPr>
          <w:sz w:val="24"/>
          <w:szCs w:val="24"/>
        </w:rPr>
        <w:t>go Manuel Gamio entre 1918-21. S</w:t>
      </w:r>
      <w:r w:rsidRPr="00F30DA9">
        <w:rPr>
          <w:sz w:val="24"/>
          <w:szCs w:val="24"/>
        </w:rPr>
        <w:t>u trabajo reveló una nueva car</w:t>
      </w:r>
      <w:r>
        <w:rPr>
          <w:sz w:val="24"/>
          <w:szCs w:val="24"/>
        </w:rPr>
        <w:t>a de la antigua ciudad. L</w:t>
      </w:r>
      <w:r w:rsidRPr="00F30DA9">
        <w:rPr>
          <w:sz w:val="24"/>
          <w:szCs w:val="24"/>
        </w:rPr>
        <w:t>a excavación de la zona de la ciudadela reveló el corazón de una gran urbe comercial que</w:t>
      </w:r>
      <w:r>
        <w:rPr>
          <w:sz w:val="24"/>
          <w:szCs w:val="24"/>
        </w:rPr>
        <w:t xml:space="preserve"> floreció por ocho siglos hasta su destrucción alrededor de 670 d.c. L</w:t>
      </w:r>
      <w:r w:rsidRPr="00F30DA9">
        <w:rPr>
          <w:sz w:val="24"/>
          <w:szCs w:val="24"/>
        </w:rPr>
        <w:t>os edificios restaurados proporcionaron un escenario para la recreación dramática de la prehistoria mesoamericana.</w:t>
      </w:r>
      <w:r>
        <w:rPr>
          <w:sz w:val="24"/>
          <w:szCs w:val="24"/>
        </w:rPr>
        <w:t xml:space="preserve"> </w:t>
      </w:r>
    </w:p>
    <w:p w:rsidR="00A627DB" w:rsidRPr="00F30DA9" w:rsidRDefault="00A627DB" w:rsidP="004F4F2B">
      <w:pPr>
        <w:spacing w:after="120" w:line="240" w:lineRule="auto"/>
        <w:ind w:firstLine="284"/>
        <w:jc w:val="both"/>
        <w:rPr>
          <w:sz w:val="24"/>
          <w:szCs w:val="24"/>
        </w:rPr>
      </w:pPr>
      <w:r w:rsidRPr="00F30DA9">
        <w:rPr>
          <w:sz w:val="24"/>
          <w:szCs w:val="24"/>
        </w:rPr>
        <w:t>La Pirámide de la Luna es retratada con menor frecuencia en las tarjetas postales, tal vez debido a su difícil acceso antes de la reconstrucción de la calzada de los muertos en la década de los 1960s.</w:t>
      </w:r>
    </w:p>
    <w:p w:rsidR="00A627DB" w:rsidRPr="00F30DA9" w:rsidRDefault="00A627DB" w:rsidP="004F4F2B">
      <w:pPr>
        <w:spacing w:after="120" w:line="240" w:lineRule="auto"/>
        <w:ind w:firstLine="284"/>
        <w:jc w:val="both"/>
        <w:rPr>
          <w:sz w:val="24"/>
          <w:szCs w:val="24"/>
        </w:rPr>
      </w:pPr>
      <w:r w:rsidRPr="00F30DA9">
        <w:rPr>
          <w:sz w:val="24"/>
          <w:szCs w:val="24"/>
        </w:rPr>
        <w:t xml:space="preserve">Las primeras vistas a colores de Teotihuacán acentúan la escala de la pirámide del sol a través de efectos de luz. Tarjetas postales (ca. 1950) importadas de Estados Unidos y distribuidas en México confirman el </w:t>
      </w:r>
      <w:r>
        <w:rPr>
          <w:sz w:val="24"/>
          <w:szCs w:val="24"/>
        </w:rPr>
        <w:t xml:space="preserve">creciente </w:t>
      </w:r>
      <w:r w:rsidRPr="00F30DA9">
        <w:rPr>
          <w:sz w:val="24"/>
          <w:szCs w:val="24"/>
        </w:rPr>
        <w:t>interés turístico del sitio.</w:t>
      </w:r>
      <w:r>
        <w:rPr>
          <w:sz w:val="24"/>
          <w:szCs w:val="24"/>
        </w:rPr>
        <w:t xml:space="preserve"> </w:t>
      </w:r>
      <w:r w:rsidRPr="00F30DA9">
        <w:rPr>
          <w:sz w:val="24"/>
          <w:szCs w:val="24"/>
        </w:rPr>
        <w:t xml:space="preserve">Tarjetas postales de los 1950s (en Vistacolor) con vistas aéreas de Teotihuacán documentan la creciente urbanización </w:t>
      </w:r>
      <w:r>
        <w:rPr>
          <w:sz w:val="24"/>
          <w:szCs w:val="24"/>
        </w:rPr>
        <w:t>y desarrollo de su entorno. Este desarrollo</w:t>
      </w:r>
      <w:r w:rsidRPr="00F30DA9">
        <w:rPr>
          <w:sz w:val="24"/>
          <w:szCs w:val="24"/>
        </w:rPr>
        <w:t xml:space="preserve"> </w:t>
      </w:r>
      <w:r>
        <w:rPr>
          <w:sz w:val="24"/>
          <w:szCs w:val="24"/>
        </w:rPr>
        <w:t>ha motivado</w:t>
      </w:r>
      <w:r w:rsidRPr="00F30DA9">
        <w:rPr>
          <w:sz w:val="24"/>
          <w:szCs w:val="24"/>
        </w:rPr>
        <w:t xml:space="preserve"> el estudio arqueológico más intensivo del sitio durante las siguientes décadas</w:t>
      </w:r>
      <w:r>
        <w:rPr>
          <w:sz w:val="24"/>
          <w:szCs w:val="24"/>
        </w:rPr>
        <w:t xml:space="preserve"> y</w:t>
      </w:r>
      <w:r w:rsidRPr="00F30DA9">
        <w:rPr>
          <w:sz w:val="24"/>
          <w:szCs w:val="24"/>
        </w:rPr>
        <w:t xml:space="preserve"> la transformación de Teotihuacán en el principal destino de turismo arqueológico en México.</w:t>
      </w:r>
    </w:p>
    <w:p w:rsidR="00A627DB" w:rsidRDefault="00A627DB" w:rsidP="004F4F2B">
      <w:pPr>
        <w:spacing w:after="120" w:line="240" w:lineRule="auto"/>
        <w:ind w:firstLine="284"/>
        <w:jc w:val="both"/>
        <w:rPr>
          <w:sz w:val="28"/>
          <w:szCs w:val="28"/>
        </w:rPr>
      </w:pPr>
    </w:p>
    <w:p w:rsidR="00A627DB" w:rsidRPr="00F30DA9" w:rsidRDefault="00A627DB" w:rsidP="00B836BE">
      <w:pPr>
        <w:spacing w:after="120" w:line="240" w:lineRule="auto"/>
        <w:jc w:val="both"/>
        <w:rPr>
          <w:sz w:val="24"/>
          <w:szCs w:val="24"/>
        </w:rPr>
      </w:pPr>
      <w:r>
        <w:rPr>
          <w:sz w:val="28"/>
          <w:szCs w:val="28"/>
        </w:rPr>
        <w:t xml:space="preserve">Palabras clave: </w:t>
      </w:r>
      <w:r w:rsidRPr="00F30DA9">
        <w:rPr>
          <w:sz w:val="24"/>
          <w:szCs w:val="24"/>
        </w:rPr>
        <w:t>Tarjetas Postales, Teotihuacan, México</w:t>
      </w:r>
    </w:p>
    <w:p w:rsidR="00A627DB" w:rsidRDefault="00A627DB" w:rsidP="004F4F2B">
      <w:pPr>
        <w:spacing w:after="120" w:line="240" w:lineRule="auto"/>
        <w:ind w:firstLine="284"/>
        <w:jc w:val="both"/>
        <w:rPr>
          <w:sz w:val="28"/>
          <w:szCs w:val="28"/>
        </w:rPr>
      </w:pPr>
    </w:p>
    <w:p w:rsidR="00A627DB" w:rsidRPr="00B836BE" w:rsidRDefault="00A627DB" w:rsidP="00B836BE">
      <w:pPr>
        <w:spacing w:after="120" w:line="240" w:lineRule="auto"/>
        <w:jc w:val="both"/>
        <w:rPr>
          <w:sz w:val="28"/>
          <w:szCs w:val="28"/>
          <w:lang w:val="en-US"/>
        </w:rPr>
      </w:pPr>
      <w:r w:rsidRPr="00B836BE">
        <w:rPr>
          <w:sz w:val="28"/>
          <w:szCs w:val="28"/>
          <w:lang w:val="en-US"/>
        </w:rPr>
        <w:t>Abstract</w:t>
      </w:r>
    </w:p>
    <w:p w:rsidR="00A627DB" w:rsidRPr="00B836BE" w:rsidRDefault="00A627DB" w:rsidP="005924B2">
      <w:pPr>
        <w:spacing w:after="120" w:line="240" w:lineRule="auto"/>
        <w:ind w:firstLine="284"/>
        <w:jc w:val="both"/>
        <w:rPr>
          <w:sz w:val="24"/>
          <w:szCs w:val="24"/>
          <w:lang w:val="en-US"/>
        </w:rPr>
      </w:pPr>
      <w:r w:rsidRPr="00B836BE">
        <w:rPr>
          <w:sz w:val="24"/>
          <w:szCs w:val="24"/>
          <w:lang w:val="en-US"/>
        </w:rPr>
        <w:t>The restoration of the Pyramid of The Sun, commissione</w:t>
      </w:r>
      <w:r>
        <w:rPr>
          <w:sz w:val="24"/>
          <w:szCs w:val="24"/>
          <w:lang w:val="en-US"/>
        </w:rPr>
        <w:t>d</w:t>
      </w:r>
      <w:r w:rsidRPr="00B836BE">
        <w:rPr>
          <w:sz w:val="24"/>
          <w:szCs w:val="24"/>
          <w:lang w:val="en-US"/>
        </w:rPr>
        <w:t xml:space="preserve"> for the celebration of the centenary of </w:t>
      </w:r>
      <w:r>
        <w:rPr>
          <w:sz w:val="24"/>
          <w:szCs w:val="24"/>
          <w:lang w:val="en-US"/>
        </w:rPr>
        <w:t xml:space="preserve">the </w:t>
      </w:r>
      <w:smartTag w:uri="urn:schemas-microsoft-com:office:smarttags" w:element="country-region">
        <w:r>
          <w:rPr>
            <w:sz w:val="24"/>
            <w:szCs w:val="24"/>
            <w:lang w:val="en-US"/>
          </w:rPr>
          <w:t>Mexico</w:t>
        </w:r>
      </w:smartTag>
      <w:r>
        <w:rPr>
          <w:sz w:val="24"/>
          <w:szCs w:val="24"/>
          <w:lang w:val="en-US"/>
        </w:rPr>
        <w:t xml:space="preserve"> </w:t>
      </w:r>
      <w:r w:rsidRPr="00B836BE">
        <w:rPr>
          <w:sz w:val="24"/>
          <w:szCs w:val="24"/>
          <w:lang w:val="en-US"/>
        </w:rPr>
        <w:t>inde</w:t>
      </w:r>
      <w:r>
        <w:rPr>
          <w:sz w:val="24"/>
          <w:szCs w:val="24"/>
          <w:lang w:val="en-US"/>
        </w:rPr>
        <w:t>pendence in 1910, turned the ancient city of</w:t>
      </w:r>
      <w:r w:rsidRPr="00B836BE">
        <w:rPr>
          <w:sz w:val="24"/>
          <w:szCs w:val="24"/>
          <w:lang w:val="en-US"/>
        </w:rPr>
        <w:t xml:space="preserve"> </w:t>
      </w:r>
      <w:smartTag w:uri="urn:schemas-microsoft-com:office:smarttags" w:element="place">
        <w:smartTag w:uri="urn:schemas-microsoft-com:office:smarttags" w:element="City">
          <w:r w:rsidRPr="00B836BE">
            <w:rPr>
              <w:sz w:val="24"/>
              <w:szCs w:val="24"/>
              <w:lang w:val="en-US"/>
            </w:rPr>
            <w:t>Teotihuacán</w:t>
          </w:r>
        </w:smartTag>
      </w:smartTag>
      <w:r w:rsidRPr="00B836BE">
        <w:rPr>
          <w:sz w:val="24"/>
          <w:szCs w:val="24"/>
          <w:lang w:val="en-US"/>
        </w:rPr>
        <w:t xml:space="preserve"> into an important symbol of the Mexican identity. Since then Teotihuacá</w:t>
      </w:r>
      <w:r>
        <w:rPr>
          <w:sz w:val="24"/>
          <w:szCs w:val="24"/>
          <w:lang w:val="en-US"/>
        </w:rPr>
        <w:t>n has been one of the places most visited by</w:t>
      </w:r>
      <w:r w:rsidRPr="00B836BE">
        <w:rPr>
          <w:sz w:val="24"/>
          <w:szCs w:val="24"/>
          <w:lang w:val="en-US"/>
        </w:rPr>
        <w:t xml:space="preserve"> tourists (national </w:t>
      </w:r>
      <w:r>
        <w:rPr>
          <w:sz w:val="24"/>
          <w:szCs w:val="24"/>
          <w:lang w:val="en-US"/>
        </w:rPr>
        <w:t>and international</w:t>
      </w:r>
      <w:r w:rsidRPr="00B836BE">
        <w:rPr>
          <w:sz w:val="24"/>
          <w:szCs w:val="24"/>
          <w:lang w:val="en-US"/>
        </w:rPr>
        <w:t xml:space="preserve">) </w:t>
      </w:r>
      <w:r>
        <w:rPr>
          <w:sz w:val="24"/>
          <w:szCs w:val="24"/>
          <w:lang w:val="en-US"/>
        </w:rPr>
        <w:t>who ofte</w:t>
      </w:r>
      <w:r w:rsidRPr="00B836BE">
        <w:rPr>
          <w:sz w:val="24"/>
          <w:szCs w:val="24"/>
          <w:lang w:val="en-US"/>
        </w:rPr>
        <w:t xml:space="preserve"> bought postcards as</w:t>
      </w:r>
      <w:r>
        <w:rPr>
          <w:sz w:val="24"/>
          <w:szCs w:val="24"/>
          <w:lang w:val="en-US"/>
        </w:rPr>
        <w:t xml:space="preserve"> a souvenir of their</w:t>
      </w:r>
      <w:r w:rsidRPr="00B836BE">
        <w:rPr>
          <w:sz w:val="24"/>
          <w:szCs w:val="24"/>
          <w:lang w:val="en-US"/>
        </w:rPr>
        <w:t xml:space="preserve"> visit. The postcards that portray the site, register a parade of images that shows </w:t>
      </w:r>
      <w:r>
        <w:rPr>
          <w:sz w:val="24"/>
          <w:szCs w:val="24"/>
          <w:lang w:val="en-US"/>
        </w:rPr>
        <w:t xml:space="preserve">its changing face. They record the changing faces of the site’s surroundings </w:t>
      </w:r>
      <w:r w:rsidRPr="00B836BE">
        <w:rPr>
          <w:sz w:val="24"/>
          <w:szCs w:val="24"/>
          <w:lang w:val="en-US"/>
        </w:rPr>
        <w:t xml:space="preserve">throughout almost all </w:t>
      </w:r>
      <w:r>
        <w:rPr>
          <w:sz w:val="24"/>
          <w:szCs w:val="24"/>
          <w:lang w:val="en-US"/>
        </w:rPr>
        <w:t xml:space="preserve">of </w:t>
      </w:r>
      <w:r w:rsidRPr="00B836BE">
        <w:rPr>
          <w:sz w:val="24"/>
          <w:szCs w:val="24"/>
          <w:lang w:val="en-US"/>
        </w:rPr>
        <w:t>the XX</w:t>
      </w:r>
      <w:r>
        <w:rPr>
          <w:sz w:val="24"/>
          <w:szCs w:val="24"/>
          <w:lang w:val="en-US"/>
        </w:rPr>
        <w:t xml:space="preserve">th </w:t>
      </w:r>
      <w:r w:rsidRPr="00B836BE">
        <w:rPr>
          <w:sz w:val="24"/>
          <w:szCs w:val="24"/>
          <w:lang w:val="en-US"/>
        </w:rPr>
        <w:t xml:space="preserve">century. </w:t>
      </w:r>
    </w:p>
    <w:p w:rsidR="00A627DB" w:rsidRPr="00B836BE" w:rsidRDefault="00A627DB" w:rsidP="005924B2">
      <w:pPr>
        <w:spacing w:after="120" w:line="240" w:lineRule="auto"/>
        <w:ind w:firstLine="284"/>
        <w:jc w:val="both"/>
        <w:rPr>
          <w:sz w:val="24"/>
          <w:szCs w:val="24"/>
          <w:lang w:val="en-US"/>
        </w:rPr>
      </w:pPr>
      <w:r>
        <w:rPr>
          <w:sz w:val="24"/>
          <w:szCs w:val="24"/>
          <w:lang w:val="en-US"/>
        </w:rPr>
        <w:t>The</w:t>
      </w:r>
      <w:r w:rsidRPr="00B836BE">
        <w:rPr>
          <w:sz w:val="24"/>
          <w:szCs w:val="24"/>
          <w:lang w:val="en-US"/>
        </w:rPr>
        <w:t xml:space="preserve"> diversity and value </w:t>
      </w:r>
      <w:r>
        <w:rPr>
          <w:sz w:val="24"/>
          <w:szCs w:val="24"/>
          <w:lang w:val="en-US"/>
        </w:rPr>
        <w:t>of this record resides in part in</w:t>
      </w:r>
      <w:r w:rsidRPr="00B836BE">
        <w:rPr>
          <w:sz w:val="24"/>
          <w:szCs w:val="24"/>
          <w:lang w:val="en-US"/>
        </w:rPr>
        <w:t xml:space="preserve"> the</w:t>
      </w:r>
      <w:r>
        <w:rPr>
          <w:sz w:val="24"/>
          <w:szCs w:val="24"/>
          <w:lang w:val="en-US"/>
        </w:rPr>
        <w:t xml:space="preserve"> documentation that provides of</w:t>
      </w:r>
      <w:r w:rsidRPr="00B836BE">
        <w:rPr>
          <w:sz w:val="24"/>
          <w:szCs w:val="24"/>
          <w:lang w:val="en-US"/>
        </w:rPr>
        <w:t xml:space="preserve"> the excavation and archaeological discoveries </w:t>
      </w:r>
      <w:r>
        <w:rPr>
          <w:sz w:val="24"/>
          <w:szCs w:val="24"/>
          <w:lang w:val="en-US"/>
        </w:rPr>
        <w:t xml:space="preserve">made there, </w:t>
      </w:r>
      <w:r w:rsidRPr="00B836BE">
        <w:rPr>
          <w:sz w:val="24"/>
          <w:szCs w:val="24"/>
          <w:lang w:val="en-US"/>
        </w:rPr>
        <w:t>but it also reflect</w:t>
      </w:r>
      <w:r>
        <w:rPr>
          <w:sz w:val="24"/>
          <w:szCs w:val="24"/>
          <w:lang w:val="en-US"/>
        </w:rPr>
        <w:t>s</w:t>
      </w:r>
      <w:r w:rsidRPr="00B836BE">
        <w:rPr>
          <w:sz w:val="24"/>
          <w:szCs w:val="24"/>
          <w:lang w:val="en-US"/>
        </w:rPr>
        <w:t xml:space="preserve"> the graphical evolution of the postcard during this lapse. </w:t>
      </w:r>
    </w:p>
    <w:p w:rsidR="00A627DB" w:rsidRPr="00B836BE" w:rsidRDefault="00A627DB" w:rsidP="005924B2">
      <w:pPr>
        <w:spacing w:after="120" w:line="240" w:lineRule="auto"/>
        <w:ind w:firstLine="284"/>
        <w:jc w:val="both"/>
        <w:rPr>
          <w:sz w:val="24"/>
          <w:szCs w:val="24"/>
          <w:lang w:val="en-US"/>
        </w:rPr>
      </w:pPr>
      <w:r w:rsidRPr="00B836BE">
        <w:rPr>
          <w:sz w:val="24"/>
          <w:szCs w:val="24"/>
          <w:lang w:val="en-US"/>
        </w:rPr>
        <w:t xml:space="preserve">The first postcards </w:t>
      </w:r>
      <w:r>
        <w:rPr>
          <w:sz w:val="24"/>
          <w:szCs w:val="24"/>
          <w:lang w:val="en-US"/>
        </w:rPr>
        <w:t>of Teotihuacán are photographs that illustrate the Pyramid of the S</w:t>
      </w:r>
      <w:r w:rsidRPr="00B836BE">
        <w:rPr>
          <w:sz w:val="24"/>
          <w:szCs w:val="24"/>
          <w:lang w:val="en-US"/>
        </w:rPr>
        <w:t>un and show the site before</w:t>
      </w:r>
      <w:r>
        <w:rPr>
          <w:sz w:val="24"/>
          <w:szCs w:val="24"/>
          <w:lang w:val="en-US"/>
        </w:rPr>
        <w:t xml:space="preserve"> the excavation of the adjoining structures on the Avenue of the Dead</w:t>
      </w:r>
      <w:r w:rsidRPr="00B836BE">
        <w:rPr>
          <w:sz w:val="24"/>
          <w:szCs w:val="24"/>
          <w:lang w:val="en-US"/>
        </w:rPr>
        <w:t xml:space="preserve">. In these early </w:t>
      </w:r>
      <w:r>
        <w:rPr>
          <w:sz w:val="24"/>
          <w:szCs w:val="24"/>
          <w:lang w:val="en-US"/>
        </w:rPr>
        <w:t>scenes of Teotihuacán, the rural character of its</w:t>
      </w:r>
      <w:r w:rsidRPr="00B836BE">
        <w:rPr>
          <w:sz w:val="24"/>
          <w:szCs w:val="24"/>
          <w:lang w:val="en-US"/>
        </w:rPr>
        <w:t xml:space="preserve"> surroundings </w:t>
      </w:r>
      <w:r>
        <w:rPr>
          <w:sz w:val="24"/>
          <w:szCs w:val="24"/>
          <w:lang w:val="en-US"/>
        </w:rPr>
        <w:t xml:space="preserve">is underlined </w:t>
      </w:r>
      <w:r w:rsidRPr="00B836BE">
        <w:rPr>
          <w:sz w:val="24"/>
          <w:szCs w:val="24"/>
          <w:lang w:val="en-US"/>
        </w:rPr>
        <w:t xml:space="preserve">by the presence of </w:t>
      </w:r>
      <w:r>
        <w:rPr>
          <w:sz w:val="24"/>
          <w:szCs w:val="24"/>
          <w:lang w:val="en-US"/>
        </w:rPr>
        <w:t>cultivated fields</w:t>
      </w:r>
      <w:r w:rsidRPr="00B836BE">
        <w:rPr>
          <w:sz w:val="24"/>
          <w:szCs w:val="24"/>
          <w:lang w:val="en-US"/>
        </w:rPr>
        <w:t xml:space="preserve"> </w:t>
      </w:r>
      <w:r>
        <w:rPr>
          <w:sz w:val="24"/>
          <w:szCs w:val="24"/>
          <w:lang w:val="en-US"/>
        </w:rPr>
        <w:t xml:space="preserve">within the </w:t>
      </w:r>
      <w:r w:rsidRPr="00B836BE">
        <w:rPr>
          <w:sz w:val="24"/>
          <w:szCs w:val="24"/>
          <w:lang w:val="en-US"/>
        </w:rPr>
        <w:t>site</w:t>
      </w:r>
      <w:r>
        <w:rPr>
          <w:sz w:val="24"/>
          <w:szCs w:val="24"/>
          <w:lang w:val="en-US"/>
        </w:rPr>
        <w:t xml:space="preserve"> itself</w:t>
      </w:r>
      <w:r w:rsidRPr="00B836BE">
        <w:rPr>
          <w:sz w:val="24"/>
          <w:szCs w:val="24"/>
          <w:lang w:val="en-US"/>
        </w:rPr>
        <w:t xml:space="preserve">. </w:t>
      </w:r>
    </w:p>
    <w:p w:rsidR="00A627DB" w:rsidRPr="00B836BE" w:rsidRDefault="00A627DB" w:rsidP="005924B2">
      <w:pPr>
        <w:spacing w:after="120" w:line="240" w:lineRule="auto"/>
        <w:ind w:firstLine="284"/>
        <w:jc w:val="both"/>
        <w:rPr>
          <w:sz w:val="24"/>
          <w:szCs w:val="24"/>
          <w:lang w:val="en-US"/>
        </w:rPr>
      </w:pPr>
      <w:r w:rsidRPr="00B836BE">
        <w:rPr>
          <w:sz w:val="24"/>
          <w:szCs w:val="24"/>
          <w:lang w:val="en-US"/>
        </w:rPr>
        <w:t xml:space="preserve">The </w:t>
      </w:r>
      <w:smartTag w:uri="urn:schemas-microsoft-com:office:smarttags" w:element="place">
        <w:smartTag w:uri="urn:schemas-microsoft-com:office:smarttags" w:element="PlaceType">
          <w:r w:rsidRPr="00B836BE">
            <w:rPr>
              <w:sz w:val="24"/>
              <w:szCs w:val="24"/>
              <w:lang w:val="en-US"/>
            </w:rPr>
            <w:t>Temple</w:t>
          </w:r>
        </w:smartTag>
        <w:r w:rsidRPr="00B836BE">
          <w:rPr>
            <w:sz w:val="24"/>
            <w:szCs w:val="24"/>
            <w:lang w:val="en-US"/>
          </w:rPr>
          <w:t xml:space="preserve"> of </w:t>
        </w:r>
        <w:smartTag w:uri="urn:schemas-microsoft-com:office:smarttags" w:element="PlaceName">
          <w:r w:rsidRPr="00B836BE">
            <w:rPr>
              <w:sz w:val="24"/>
              <w:szCs w:val="24"/>
              <w:lang w:val="en-US"/>
            </w:rPr>
            <w:t>Quetzalcoatl</w:t>
          </w:r>
        </w:smartTag>
      </w:smartTag>
      <w:r>
        <w:rPr>
          <w:sz w:val="24"/>
          <w:szCs w:val="24"/>
          <w:lang w:val="en-US"/>
        </w:rPr>
        <w:t xml:space="preserve"> was excavated</w:t>
      </w:r>
      <w:r w:rsidRPr="00B836BE">
        <w:rPr>
          <w:sz w:val="24"/>
          <w:szCs w:val="24"/>
          <w:lang w:val="en-US"/>
        </w:rPr>
        <w:t xml:space="preserve"> between 1918-</w:t>
      </w:r>
      <w:smartTag w:uri="urn:schemas-microsoft-com:office:smarttags" w:element="metricconverter">
        <w:smartTagPr>
          <w:attr w:name="ProductID" w:val="21 in"/>
        </w:smartTagPr>
        <w:r w:rsidRPr="00B836BE">
          <w:rPr>
            <w:sz w:val="24"/>
            <w:szCs w:val="24"/>
            <w:lang w:val="en-US"/>
          </w:rPr>
          <w:t>21</w:t>
        </w:r>
        <w:r>
          <w:rPr>
            <w:sz w:val="24"/>
            <w:szCs w:val="24"/>
            <w:lang w:val="en-US"/>
          </w:rPr>
          <w:t xml:space="preserve"> </w:t>
        </w:r>
        <w:r w:rsidRPr="00B836BE">
          <w:rPr>
            <w:sz w:val="24"/>
            <w:szCs w:val="24"/>
            <w:lang w:val="en-US"/>
          </w:rPr>
          <w:t>in</w:t>
        </w:r>
      </w:smartTag>
      <w:r w:rsidRPr="00B836BE">
        <w:rPr>
          <w:sz w:val="24"/>
          <w:szCs w:val="24"/>
          <w:lang w:val="en-US"/>
        </w:rPr>
        <w:t xml:space="preserve"> a project directed by the archaeologist Manuel Gamio</w:t>
      </w:r>
      <w:r>
        <w:rPr>
          <w:sz w:val="24"/>
          <w:szCs w:val="24"/>
          <w:lang w:val="en-US"/>
        </w:rPr>
        <w:t>. His</w:t>
      </w:r>
      <w:r w:rsidRPr="00B836BE">
        <w:rPr>
          <w:sz w:val="24"/>
          <w:szCs w:val="24"/>
          <w:lang w:val="en-US"/>
        </w:rPr>
        <w:t xml:space="preserve"> work revealed a new face of the old city. The excavation of the zone of the citadel revealed the h</w:t>
      </w:r>
      <w:r>
        <w:rPr>
          <w:sz w:val="24"/>
          <w:szCs w:val="24"/>
          <w:lang w:val="en-US"/>
        </w:rPr>
        <w:t>eart of a great commercial city that flourished for</w:t>
      </w:r>
      <w:r w:rsidRPr="00B836BE">
        <w:rPr>
          <w:sz w:val="24"/>
          <w:szCs w:val="24"/>
          <w:lang w:val="en-US"/>
        </w:rPr>
        <w:t xml:space="preserve"> eight centuries unt</w:t>
      </w:r>
      <w:r>
        <w:rPr>
          <w:sz w:val="24"/>
          <w:szCs w:val="24"/>
          <w:lang w:val="en-US"/>
        </w:rPr>
        <w:t>il its destruction around 670 D.C. The restored buildings provided a scenario</w:t>
      </w:r>
      <w:r w:rsidRPr="00B836BE">
        <w:rPr>
          <w:sz w:val="24"/>
          <w:szCs w:val="24"/>
          <w:lang w:val="en-US"/>
        </w:rPr>
        <w:t xml:space="preserve"> for </w:t>
      </w:r>
      <w:r>
        <w:rPr>
          <w:sz w:val="24"/>
          <w:szCs w:val="24"/>
          <w:lang w:val="en-US"/>
        </w:rPr>
        <w:t>the dramatic recreation of Mesoamerican</w:t>
      </w:r>
      <w:r w:rsidRPr="00B836BE">
        <w:rPr>
          <w:sz w:val="24"/>
          <w:szCs w:val="24"/>
          <w:lang w:val="en-US"/>
        </w:rPr>
        <w:t xml:space="preserve"> prehistory. </w:t>
      </w:r>
    </w:p>
    <w:p w:rsidR="00A627DB" w:rsidRPr="00B836BE" w:rsidRDefault="00A627DB" w:rsidP="005924B2">
      <w:pPr>
        <w:spacing w:after="120" w:line="240" w:lineRule="auto"/>
        <w:ind w:firstLine="284"/>
        <w:jc w:val="both"/>
        <w:rPr>
          <w:sz w:val="24"/>
          <w:szCs w:val="24"/>
          <w:lang w:val="en-US"/>
        </w:rPr>
      </w:pPr>
      <w:r w:rsidRPr="00B836BE">
        <w:rPr>
          <w:sz w:val="24"/>
          <w:szCs w:val="24"/>
          <w:lang w:val="en-US"/>
        </w:rPr>
        <w:t>The Pyramid of th</w:t>
      </w:r>
      <w:r>
        <w:rPr>
          <w:sz w:val="24"/>
          <w:szCs w:val="24"/>
          <w:lang w:val="en-US"/>
        </w:rPr>
        <w:t>e Moon is portrayed with less frequently</w:t>
      </w:r>
      <w:r w:rsidRPr="00B836BE">
        <w:rPr>
          <w:sz w:val="24"/>
          <w:szCs w:val="24"/>
          <w:lang w:val="en-US"/>
        </w:rPr>
        <w:t xml:space="preserve"> in postcards, perhaps due to its difficult access before the rec</w:t>
      </w:r>
      <w:r>
        <w:rPr>
          <w:sz w:val="24"/>
          <w:szCs w:val="24"/>
          <w:lang w:val="en-US"/>
        </w:rPr>
        <w:t>onstruction of the Avenue of the Dead</w:t>
      </w:r>
      <w:r w:rsidRPr="00B836BE">
        <w:rPr>
          <w:sz w:val="24"/>
          <w:szCs w:val="24"/>
          <w:lang w:val="en-US"/>
        </w:rPr>
        <w:t xml:space="preserve"> in the decade of 1960s.</w:t>
      </w:r>
    </w:p>
    <w:p w:rsidR="00A627DB" w:rsidRPr="00B836BE" w:rsidRDefault="00A627DB" w:rsidP="005924B2">
      <w:pPr>
        <w:spacing w:after="120" w:line="240" w:lineRule="auto"/>
        <w:ind w:firstLine="284"/>
        <w:jc w:val="both"/>
        <w:rPr>
          <w:sz w:val="24"/>
          <w:szCs w:val="24"/>
          <w:lang w:val="en-US"/>
        </w:rPr>
      </w:pPr>
      <w:r>
        <w:rPr>
          <w:sz w:val="24"/>
          <w:szCs w:val="24"/>
          <w:lang w:val="en-US"/>
        </w:rPr>
        <w:t>The first views in color</w:t>
      </w:r>
      <w:r w:rsidRPr="00B836BE">
        <w:rPr>
          <w:sz w:val="24"/>
          <w:szCs w:val="24"/>
          <w:lang w:val="en-US"/>
        </w:rPr>
        <w:t xml:space="preserve"> of Teotihuac</w:t>
      </w:r>
      <w:r>
        <w:rPr>
          <w:sz w:val="24"/>
          <w:szCs w:val="24"/>
          <w:lang w:val="en-US"/>
        </w:rPr>
        <w:t>án accentuate the scale of the Pyramid of the S</w:t>
      </w:r>
      <w:r w:rsidRPr="00B836BE">
        <w:rPr>
          <w:sz w:val="24"/>
          <w:szCs w:val="24"/>
          <w:lang w:val="en-US"/>
        </w:rPr>
        <w:t xml:space="preserve">un through light effects. Postcards (ca. 1950) </w:t>
      </w:r>
      <w:r>
        <w:rPr>
          <w:sz w:val="24"/>
          <w:szCs w:val="24"/>
          <w:lang w:val="en-US"/>
        </w:rPr>
        <w:t xml:space="preserve">printed in the </w:t>
      </w:r>
      <w:smartTag w:uri="urn:schemas-microsoft-com:office:smarttags" w:element="country-region">
        <w:r w:rsidRPr="00B836BE">
          <w:rPr>
            <w:sz w:val="24"/>
            <w:szCs w:val="24"/>
            <w:lang w:val="en-US"/>
          </w:rPr>
          <w:t>United States</w:t>
        </w:r>
      </w:smartTag>
      <w:r w:rsidRPr="00B836BE">
        <w:rPr>
          <w:sz w:val="24"/>
          <w:szCs w:val="24"/>
          <w:lang w:val="en-US"/>
        </w:rPr>
        <w:t xml:space="preserve"> </w:t>
      </w:r>
      <w:r>
        <w:rPr>
          <w:sz w:val="24"/>
          <w:szCs w:val="24"/>
          <w:lang w:val="en-US"/>
        </w:rPr>
        <w:t xml:space="preserve">and distributed in </w:t>
      </w:r>
      <w:smartTag w:uri="urn:schemas-microsoft-com:office:smarttags" w:element="country-region">
        <w:r>
          <w:rPr>
            <w:sz w:val="24"/>
            <w:szCs w:val="24"/>
            <w:lang w:val="en-US"/>
          </w:rPr>
          <w:t>Mexico</w:t>
        </w:r>
      </w:smartTag>
      <w:r>
        <w:rPr>
          <w:sz w:val="24"/>
          <w:szCs w:val="24"/>
          <w:lang w:val="en-US"/>
        </w:rPr>
        <w:t xml:space="preserve"> </w:t>
      </w:r>
      <w:r w:rsidRPr="00B836BE">
        <w:rPr>
          <w:sz w:val="24"/>
          <w:szCs w:val="24"/>
          <w:lang w:val="en-US"/>
        </w:rPr>
        <w:t>confirm th</w:t>
      </w:r>
      <w:r>
        <w:rPr>
          <w:sz w:val="24"/>
          <w:szCs w:val="24"/>
          <w:lang w:val="en-US"/>
        </w:rPr>
        <w:t>e increasing tourist interest of</w:t>
      </w:r>
      <w:r w:rsidRPr="00B836BE">
        <w:rPr>
          <w:sz w:val="24"/>
          <w:szCs w:val="24"/>
          <w:lang w:val="en-US"/>
        </w:rPr>
        <w:t xml:space="preserve"> the site. </w:t>
      </w:r>
      <w:r>
        <w:rPr>
          <w:sz w:val="24"/>
          <w:szCs w:val="24"/>
          <w:lang w:val="en-US"/>
        </w:rPr>
        <w:t>Other p</w:t>
      </w:r>
      <w:r w:rsidRPr="00B836BE">
        <w:rPr>
          <w:sz w:val="24"/>
          <w:szCs w:val="24"/>
          <w:lang w:val="en-US"/>
        </w:rPr>
        <w:t xml:space="preserve">ostcards of </w:t>
      </w:r>
      <w:r>
        <w:rPr>
          <w:sz w:val="24"/>
          <w:szCs w:val="24"/>
          <w:lang w:val="en-US"/>
        </w:rPr>
        <w:t>the 1950s (in Vistacolor) show the first</w:t>
      </w:r>
      <w:r w:rsidRPr="00B836BE">
        <w:rPr>
          <w:sz w:val="24"/>
          <w:szCs w:val="24"/>
          <w:lang w:val="en-US"/>
        </w:rPr>
        <w:t xml:space="preserve"> aerial views of Teotihuacán </w:t>
      </w:r>
      <w:r>
        <w:rPr>
          <w:sz w:val="24"/>
          <w:szCs w:val="24"/>
          <w:lang w:val="en-US"/>
        </w:rPr>
        <w:t xml:space="preserve">and document </w:t>
      </w:r>
      <w:r w:rsidRPr="00B836BE">
        <w:rPr>
          <w:sz w:val="24"/>
          <w:szCs w:val="24"/>
          <w:lang w:val="en-US"/>
        </w:rPr>
        <w:t>the increasing urban</w:t>
      </w:r>
      <w:r>
        <w:rPr>
          <w:sz w:val="24"/>
          <w:szCs w:val="24"/>
          <w:lang w:val="en-US"/>
        </w:rPr>
        <w:t>ization and development of its</w:t>
      </w:r>
      <w:r w:rsidRPr="00B836BE">
        <w:rPr>
          <w:sz w:val="24"/>
          <w:szCs w:val="24"/>
          <w:lang w:val="en-US"/>
        </w:rPr>
        <w:t xml:space="preserve"> surroundings. This development has motivated the more intensive archaeological study of the site during the following decades and the transformation of</w:t>
      </w:r>
      <w:r>
        <w:rPr>
          <w:sz w:val="24"/>
          <w:szCs w:val="24"/>
          <w:lang w:val="en-US"/>
        </w:rPr>
        <w:t xml:space="preserve"> Teotihuacán in the main destination for</w:t>
      </w:r>
      <w:r w:rsidRPr="00B836BE">
        <w:rPr>
          <w:sz w:val="24"/>
          <w:szCs w:val="24"/>
          <w:lang w:val="en-US"/>
        </w:rPr>
        <w:t xml:space="preserve"> archaeological tourism in </w:t>
      </w:r>
      <w:smartTag w:uri="urn:schemas-microsoft-com:office:smarttags" w:element="country-region">
        <w:r w:rsidRPr="00B836BE">
          <w:rPr>
            <w:sz w:val="24"/>
            <w:szCs w:val="24"/>
            <w:lang w:val="en-US"/>
          </w:rPr>
          <w:t>Mexico</w:t>
        </w:r>
      </w:smartTag>
      <w:r w:rsidRPr="00B836BE">
        <w:rPr>
          <w:sz w:val="24"/>
          <w:szCs w:val="24"/>
          <w:lang w:val="en-US"/>
        </w:rPr>
        <w:t>.</w:t>
      </w:r>
    </w:p>
    <w:p w:rsidR="00A627DB" w:rsidRPr="00B836BE" w:rsidRDefault="00A627DB" w:rsidP="005924B2">
      <w:pPr>
        <w:spacing w:after="120" w:line="240" w:lineRule="auto"/>
        <w:ind w:firstLine="284"/>
        <w:jc w:val="both"/>
        <w:rPr>
          <w:sz w:val="24"/>
          <w:szCs w:val="24"/>
          <w:lang w:val="en-US"/>
        </w:rPr>
      </w:pPr>
    </w:p>
    <w:p w:rsidR="00A627DB" w:rsidRPr="00B836BE" w:rsidRDefault="00A627DB" w:rsidP="004F4F2B">
      <w:pPr>
        <w:spacing w:after="120" w:line="240" w:lineRule="auto"/>
        <w:ind w:firstLine="284"/>
        <w:jc w:val="both"/>
        <w:rPr>
          <w:sz w:val="24"/>
          <w:szCs w:val="24"/>
          <w:lang w:val="en-US"/>
        </w:rPr>
      </w:pPr>
      <w:r w:rsidRPr="00B836BE">
        <w:rPr>
          <w:sz w:val="28"/>
          <w:szCs w:val="28"/>
          <w:lang w:val="en-US"/>
        </w:rPr>
        <w:t xml:space="preserve">Keywords: </w:t>
      </w:r>
      <w:r w:rsidRPr="00B836BE">
        <w:rPr>
          <w:sz w:val="24"/>
          <w:szCs w:val="24"/>
          <w:lang w:val="en-US"/>
        </w:rPr>
        <w:t>Postcards, Teotihuacan, Mexico</w:t>
      </w:r>
    </w:p>
    <w:p w:rsidR="00A627DB" w:rsidRPr="00B836BE" w:rsidRDefault="00A627DB" w:rsidP="004F4F2B">
      <w:pPr>
        <w:spacing w:after="120" w:line="240" w:lineRule="auto"/>
        <w:ind w:firstLine="284"/>
        <w:jc w:val="both"/>
        <w:rPr>
          <w:sz w:val="28"/>
          <w:szCs w:val="28"/>
          <w:lang w:val="en-US"/>
        </w:rPr>
      </w:pPr>
    </w:p>
    <w:sectPr w:rsidR="00A627DB" w:rsidRPr="00B836BE" w:rsidSect="0054286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485C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14A5C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92AD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68FF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64E74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6CA5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AE12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A291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72D7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6E09F7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3D1"/>
    <w:rsid w:val="00070E93"/>
    <w:rsid w:val="000751FF"/>
    <w:rsid w:val="000A6CCC"/>
    <w:rsid w:val="000B0DB6"/>
    <w:rsid w:val="000F53CE"/>
    <w:rsid w:val="000F6B94"/>
    <w:rsid w:val="00152DA0"/>
    <w:rsid w:val="001D053F"/>
    <w:rsid w:val="00211479"/>
    <w:rsid w:val="00213AB1"/>
    <w:rsid w:val="002C7357"/>
    <w:rsid w:val="002F0B96"/>
    <w:rsid w:val="002F7875"/>
    <w:rsid w:val="00367A5A"/>
    <w:rsid w:val="003F03C4"/>
    <w:rsid w:val="004F4F2B"/>
    <w:rsid w:val="00502F9E"/>
    <w:rsid w:val="00542862"/>
    <w:rsid w:val="005924B2"/>
    <w:rsid w:val="005F4BBA"/>
    <w:rsid w:val="00603A68"/>
    <w:rsid w:val="006C6D00"/>
    <w:rsid w:val="008060C1"/>
    <w:rsid w:val="00854BD0"/>
    <w:rsid w:val="00925C7C"/>
    <w:rsid w:val="00932015"/>
    <w:rsid w:val="009D402E"/>
    <w:rsid w:val="00A627DB"/>
    <w:rsid w:val="00AA0F20"/>
    <w:rsid w:val="00AE64D9"/>
    <w:rsid w:val="00B641A3"/>
    <w:rsid w:val="00B66C65"/>
    <w:rsid w:val="00B82201"/>
    <w:rsid w:val="00B836BE"/>
    <w:rsid w:val="00B94B19"/>
    <w:rsid w:val="00BC683B"/>
    <w:rsid w:val="00C109F6"/>
    <w:rsid w:val="00C63AFD"/>
    <w:rsid w:val="00C70E80"/>
    <w:rsid w:val="00C719A9"/>
    <w:rsid w:val="00C76B37"/>
    <w:rsid w:val="00C953D1"/>
    <w:rsid w:val="00CD45ED"/>
    <w:rsid w:val="00CE2E0A"/>
    <w:rsid w:val="00D14250"/>
    <w:rsid w:val="00D97CEA"/>
    <w:rsid w:val="00DA3B28"/>
    <w:rsid w:val="00E67A63"/>
    <w:rsid w:val="00F30DA9"/>
    <w:rsid w:val="00F6115B"/>
    <w:rsid w:val="00F861E2"/>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86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9583917">
      <w:marLeft w:val="0"/>
      <w:marRight w:val="0"/>
      <w:marTop w:val="0"/>
      <w:marBottom w:val="0"/>
      <w:divBdr>
        <w:top w:val="none" w:sz="0" w:space="0" w:color="auto"/>
        <w:left w:val="none" w:sz="0" w:space="0" w:color="auto"/>
        <w:bottom w:val="none" w:sz="0" w:space="0" w:color="auto"/>
        <w:right w:val="none" w:sz="0" w:space="0" w:color="auto"/>
      </w:divBdr>
      <w:divsChild>
        <w:div w:id="1629583916">
          <w:marLeft w:val="0"/>
          <w:marRight w:val="0"/>
          <w:marTop w:val="100"/>
          <w:marBottom w:val="100"/>
          <w:divBdr>
            <w:top w:val="none" w:sz="0" w:space="0" w:color="auto"/>
            <w:left w:val="none" w:sz="0" w:space="0" w:color="auto"/>
            <w:bottom w:val="none" w:sz="0" w:space="0" w:color="auto"/>
            <w:right w:val="none" w:sz="0" w:space="0" w:color="auto"/>
          </w:divBdr>
          <w:divsChild>
            <w:div w:id="1629583920">
              <w:marLeft w:val="0"/>
              <w:marRight w:val="0"/>
              <w:marTop w:val="0"/>
              <w:marBottom w:val="0"/>
              <w:divBdr>
                <w:top w:val="none" w:sz="0" w:space="0" w:color="auto"/>
                <w:left w:val="none" w:sz="0" w:space="0" w:color="auto"/>
                <w:bottom w:val="none" w:sz="0" w:space="0" w:color="auto"/>
                <w:right w:val="none" w:sz="0" w:space="0" w:color="auto"/>
              </w:divBdr>
              <w:divsChild>
                <w:div w:id="1629583933">
                  <w:marLeft w:val="0"/>
                  <w:marRight w:val="0"/>
                  <w:marTop w:val="0"/>
                  <w:marBottom w:val="240"/>
                  <w:divBdr>
                    <w:top w:val="single" w:sz="6" w:space="0" w:color="8CB1BA"/>
                    <w:left w:val="single" w:sz="6" w:space="0" w:color="8CB1BA"/>
                    <w:bottom w:val="single" w:sz="6" w:space="0" w:color="8CB1BA"/>
                    <w:right w:val="single" w:sz="6" w:space="0" w:color="8CB1BA"/>
                  </w:divBdr>
                  <w:divsChild>
                    <w:div w:id="1629583904">
                      <w:marLeft w:val="0"/>
                      <w:marRight w:val="0"/>
                      <w:marTop w:val="0"/>
                      <w:marBottom w:val="0"/>
                      <w:divBdr>
                        <w:top w:val="none" w:sz="0" w:space="0" w:color="auto"/>
                        <w:left w:val="none" w:sz="0" w:space="0" w:color="auto"/>
                        <w:bottom w:val="none" w:sz="0" w:space="0" w:color="auto"/>
                        <w:right w:val="none" w:sz="0" w:space="0" w:color="auto"/>
                      </w:divBdr>
                      <w:divsChild>
                        <w:div w:id="1629583902">
                          <w:marLeft w:val="0"/>
                          <w:marRight w:val="0"/>
                          <w:marTop w:val="120"/>
                          <w:marBottom w:val="0"/>
                          <w:divBdr>
                            <w:top w:val="none" w:sz="0" w:space="0" w:color="auto"/>
                            <w:left w:val="none" w:sz="0" w:space="0" w:color="auto"/>
                            <w:bottom w:val="none" w:sz="0" w:space="0" w:color="auto"/>
                            <w:right w:val="none" w:sz="0" w:space="0" w:color="auto"/>
                          </w:divBdr>
                          <w:divsChild>
                            <w:div w:id="1629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83923">
      <w:marLeft w:val="0"/>
      <w:marRight w:val="0"/>
      <w:marTop w:val="0"/>
      <w:marBottom w:val="0"/>
      <w:divBdr>
        <w:top w:val="none" w:sz="0" w:space="0" w:color="auto"/>
        <w:left w:val="none" w:sz="0" w:space="0" w:color="auto"/>
        <w:bottom w:val="none" w:sz="0" w:space="0" w:color="auto"/>
        <w:right w:val="none" w:sz="0" w:space="0" w:color="auto"/>
      </w:divBdr>
      <w:divsChild>
        <w:div w:id="1629583912">
          <w:marLeft w:val="0"/>
          <w:marRight w:val="0"/>
          <w:marTop w:val="100"/>
          <w:marBottom w:val="100"/>
          <w:divBdr>
            <w:top w:val="none" w:sz="0" w:space="0" w:color="auto"/>
            <w:left w:val="none" w:sz="0" w:space="0" w:color="auto"/>
            <w:bottom w:val="none" w:sz="0" w:space="0" w:color="auto"/>
            <w:right w:val="none" w:sz="0" w:space="0" w:color="auto"/>
          </w:divBdr>
          <w:divsChild>
            <w:div w:id="1629583919">
              <w:marLeft w:val="0"/>
              <w:marRight w:val="0"/>
              <w:marTop w:val="0"/>
              <w:marBottom w:val="0"/>
              <w:divBdr>
                <w:top w:val="none" w:sz="0" w:space="0" w:color="auto"/>
                <w:left w:val="none" w:sz="0" w:space="0" w:color="auto"/>
                <w:bottom w:val="none" w:sz="0" w:space="0" w:color="auto"/>
                <w:right w:val="none" w:sz="0" w:space="0" w:color="auto"/>
              </w:divBdr>
              <w:divsChild>
                <w:div w:id="1629583918">
                  <w:marLeft w:val="0"/>
                  <w:marRight w:val="0"/>
                  <w:marTop w:val="0"/>
                  <w:marBottom w:val="240"/>
                  <w:divBdr>
                    <w:top w:val="single" w:sz="6" w:space="0" w:color="8CB1BA"/>
                    <w:left w:val="single" w:sz="6" w:space="0" w:color="8CB1BA"/>
                    <w:bottom w:val="single" w:sz="6" w:space="0" w:color="8CB1BA"/>
                    <w:right w:val="single" w:sz="6" w:space="0" w:color="8CB1BA"/>
                  </w:divBdr>
                  <w:divsChild>
                    <w:div w:id="1629583926">
                      <w:marLeft w:val="0"/>
                      <w:marRight w:val="0"/>
                      <w:marTop w:val="0"/>
                      <w:marBottom w:val="0"/>
                      <w:divBdr>
                        <w:top w:val="none" w:sz="0" w:space="0" w:color="auto"/>
                        <w:left w:val="none" w:sz="0" w:space="0" w:color="auto"/>
                        <w:bottom w:val="none" w:sz="0" w:space="0" w:color="auto"/>
                        <w:right w:val="none" w:sz="0" w:space="0" w:color="auto"/>
                      </w:divBdr>
                      <w:divsChild>
                        <w:div w:id="1629583914">
                          <w:marLeft w:val="0"/>
                          <w:marRight w:val="0"/>
                          <w:marTop w:val="120"/>
                          <w:marBottom w:val="0"/>
                          <w:divBdr>
                            <w:top w:val="none" w:sz="0" w:space="0" w:color="auto"/>
                            <w:left w:val="none" w:sz="0" w:space="0" w:color="auto"/>
                            <w:bottom w:val="none" w:sz="0" w:space="0" w:color="auto"/>
                            <w:right w:val="none" w:sz="0" w:space="0" w:color="auto"/>
                          </w:divBdr>
                          <w:divsChild>
                            <w:div w:id="162958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83925">
      <w:marLeft w:val="0"/>
      <w:marRight w:val="0"/>
      <w:marTop w:val="0"/>
      <w:marBottom w:val="0"/>
      <w:divBdr>
        <w:top w:val="none" w:sz="0" w:space="0" w:color="auto"/>
        <w:left w:val="none" w:sz="0" w:space="0" w:color="auto"/>
        <w:bottom w:val="none" w:sz="0" w:space="0" w:color="auto"/>
        <w:right w:val="none" w:sz="0" w:space="0" w:color="auto"/>
      </w:divBdr>
      <w:divsChild>
        <w:div w:id="1629583905">
          <w:marLeft w:val="0"/>
          <w:marRight w:val="0"/>
          <w:marTop w:val="100"/>
          <w:marBottom w:val="100"/>
          <w:divBdr>
            <w:top w:val="none" w:sz="0" w:space="0" w:color="auto"/>
            <w:left w:val="none" w:sz="0" w:space="0" w:color="auto"/>
            <w:bottom w:val="none" w:sz="0" w:space="0" w:color="auto"/>
            <w:right w:val="none" w:sz="0" w:space="0" w:color="auto"/>
          </w:divBdr>
          <w:divsChild>
            <w:div w:id="1629583901">
              <w:marLeft w:val="0"/>
              <w:marRight w:val="0"/>
              <w:marTop w:val="0"/>
              <w:marBottom w:val="0"/>
              <w:divBdr>
                <w:top w:val="none" w:sz="0" w:space="0" w:color="auto"/>
                <w:left w:val="none" w:sz="0" w:space="0" w:color="auto"/>
                <w:bottom w:val="none" w:sz="0" w:space="0" w:color="auto"/>
                <w:right w:val="none" w:sz="0" w:space="0" w:color="auto"/>
              </w:divBdr>
              <w:divsChild>
                <w:div w:id="1629583935">
                  <w:marLeft w:val="0"/>
                  <w:marRight w:val="0"/>
                  <w:marTop w:val="0"/>
                  <w:marBottom w:val="240"/>
                  <w:divBdr>
                    <w:top w:val="single" w:sz="6" w:space="0" w:color="8CB1BA"/>
                    <w:left w:val="single" w:sz="6" w:space="0" w:color="8CB1BA"/>
                    <w:bottom w:val="single" w:sz="6" w:space="0" w:color="8CB1BA"/>
                    <w:right w:val="single" w:sz="6" w:space="0" w:color="8CB1BA"/>
                  </w:divBdr>
                  <w:divsChild>
                    <w:div w:id="1629583939">
                      <w:marLeft w:val="0"/>
                      <w:marRight w:val="0"/>
                      <w:marTop w:val="0"/>
                      <w:marBottom w:val="0"/>
                      <w:divBdr>
                        <w:top w:val="none" w:sz="0" w:space="0" w:color="auto"/>
                        <w:left w:val="none" w:sz="0" w:space="0" w:color="auto"/>
                        <w:bottom w:val="none" w:sz="0" w:space="0" w:color="auto"/>
                        <w:right w:val="none" w:sz="0" w:space="0" w:color="auto"/>
                      </w:divBdr>
                      <w:divsChild>
                        <w:div w:id="1629583936">
                          <w:marLeft w:val="0"/>
                          <w:marRight w:val="0"/>
                          <w:marTop w:val="120"/>
                          <w:marBottom w:val="0"/>
                          <w:divBdr>
                            <w:top w:val="none" w:sz="0" w:space="0" w:color="auto"/>
                            <w:left w:val="none" w:sz="0" w:space="0" w:color="auto"/>
                            <w:bottom w:val="none" w:sz="0" w:space="0" w:color="auto"/>
                            <w:right w:val="none" w:sz="0" w:space="0" w:color="auto"/>
                          </w:divBdr>
                          <w:divsChild>
                            <w:div w:id="16295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83927">
      <w:marLeft w:val="0"/>
      <w:marRight w:val="0"/>
      <w:marTop w:val="0"/>
      <w:marBottom w:val="0"/>
      <w:divBdr>
        <w:top w:val="none" w:sz="0" w:space="0" w:color="auto"/>
        <w:left w:val="none" w:sz="0" w:space="0" w:color="auto"/>
        <w:bottom w:val="none" w:sz="0" w:space="0" w:color="auto"/>
        <w:right w:val="none" w:sz="0" w:space="0" w:color="auto"/>
      </w:divBdr>
      <w:divsChild>
        <w:div w:id="1629583922">
          <w:marLeft w:val="0"/>
          <w:marRight w:val="0"/>
          <w:marTop w:val="100"/>
          <w:marBottom w:val="100"/>
          <w:divBdr>
            <w:top w:val="none" w:sz="0" w:space="0" w:color="auto"/>
            <w:left w:val="none" w:sz="0" w:space="0" w:color="auto"/>
            <w:bottom w:val="none" w:sz="0" w:space="0" w:color="auto"/>
            <w:right w:val="none" w:sz="0" w:space="0" w:color="auto"/>
          </w:divBdr>
          <w:divsChild>
            <w:div w:id="1629583921">
              <w:marLeft w:val="0"/>
              <w:marRight w:val="0"/>
              <w:marTop w:val="0"/>
              <w:marBottom w:val="0"/>
              <w:divBdr>
                <w:top w:val="none" w:sz="0" w:space="0" w:color="auto"/>
                <w:left w:val="none" w:sz="0" w:space="0" w:color="auto"/>
                <w:bottom w:val="none" w:sz="0" w:space="0" w:color="auto"/>
                <w:right w:val="none" w:sz="0" w:space="0" w:color="auto"/>
              </w:divBdr>
              <w:divsChild>
                <w:div w:id="1629583906">
                  <w:marLeft w:val="0"/>
                  <w:marRight w:val="0"/>
                  <w:marTop w:val="0"/>
                  <w:marBottom w:val="240"/>
                  <w:divBdr>
                    <w:top w:val="single" w:sz="6" w:space="0" w:color="8CB1BA"/>
                    <w:left w:val="single" w:sz="6" w:space="0" w:color="8CB1BA"/>
                    <w:bottom w:val="single" w:sz="6" w:space="0" w:color="8CB1BA"/>
                    <w:right w:val="single" w:sz="6" w:space="0" w:color="8CB1BA"/>
                  </w:divBdr>
                  <w:divsChild>
                    <w:div w:id="1629583910">
                      <w:marLeft w:val="0"/>
                      <w:marRight w:val="0"/>
                      <w:marTop w:val="0"/>
                      <w:marBottom w:val="0"/>
                      <w:divBdr>
                        <w:top w:val="none" w:sz="0" w:space="0" w:color="auto"/>
                        <w:left w:val="none" w:sz="0" w:space="0" w:color="auto"/>
                        <w:bottom w:val="none" w:sz="0" w:space="0" w:color="auto"/>
                        <w:right w:val="none" w:sz="0" w:space="0" w:color="auto"/>
                      </w:divBdr>
                      <w:divsChild>
                        <w:div w:id="1629583903">
                          <w:marLeft w:val="0"/>
                          <w:marRight w:val="0"/>
                          <w:marTop w:val="120"/>
                          <w:marBottom w:val="0"/>
                          <w:divBdr>
                            <w:top w:val="none" w:sz="0" w:space="0" w:color="auto"/>
                            <w:left w:val="none" w:sz="0" w:space="0" w:color="auto"/>
                            <w:bottom w:val="none" w:sz="0" w:space="0" w:color="auto"/>
                            <w:right w:val="none" w:sz="0" w:space="0" w:color="auto"/>
                          </w:divBdr>
                          <w:divsChild>
                            <w:div w:id="1629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83938">
      <w:marLeft w:val="0"/>
      <w:marRight w:val="0"/>
      <w:marTop w:val="0"/>
      <w:marBottom w:val="0"/>
      <w:divBdr>
        <w:top w:val="none" w:sz="0" w:space="0" w:color="auto"/>
        <w:left w:val="none" w:sz="0" w:space="0" w:color="auto"/>
        <w:bottom w:val="none" w:sz="0" w:space="0" w:color="auto"/>
        <w:right w:val="none" w:sz="0" w:space="0" w:color="auto"/>
      </w:divBdr>
      <w:divsChild>
        <w:div w:id="1629583907">
          <w:marLeft w:val="0"/>
          <w:marRight w:val="0"/>
          <w:marTop w:val="100"/>
          <w:marBottom w:val="100"/>
          <w:divBdr>
            <w:top w:val="none" w:sz="0" w:space="0" w:color="auto"/>
            <w:left w:val="none" w:sz="0" w:space="0" w:color="auto"/>
            <w:bottom w:val="none" w:sz="0" w:space="0" w:color="auto"/>
            <w:right w:val="none" w:sz="0" w:space="0" w:color="auto"/>
          </w:divBdr>
          <w:divsChild>
            <w:div w:id="1629583931">
              <w:marLeft w:val="0"/>
              <w:marRight w:val="0"/>
              <w:marTop w:val="0"/>
              <w:marBottom w:val="0"/>
              <w:divBdr>
                <w:top w:val="none" w:sz="0" w:space="0" w:color="auto"/>
                <w:left w:val="none" w:sz="0" w:space="0" w:color="auto"/>
                <w:bottom w:val="none" w:sz="0" w:space="0" w:color="auto"/>
                <w:right w:val="none" w:sz="0" w:space="0" w:color="auto"/>
              </w:divBdr>
              <w:divsChild>
                <w:div w:id="1629583915">
                  <w:marLeft w:val="0"/>
                  <w:marRight w:val="0"/>
                  <w:marTop w:val="0"/>
                  <w:marBottom w:val="240"/>
                  <w:divBdr>
                    <w:top w:val="single" w:sz="6" w:space="0" w:color="8CB1BA"/>
                    <w:left w:val="single" w:sz="6" w:space="0" w:color="8CB1BA"/>
                    <w:bottom w:val="single" w:sz="6" w:space="0" w:color="8CB1BA"/>
                    <w:right w:val="single" w:sz="6" w:space="0" w:color="8CB1BA"/>
                  </w:divBdr>
                  <w:divsChild>
                    <w:div w:id="1629583941">
                      <w:marLeft w:val="0"/>
                      <w:marRight w:val="0"/>
                      <w:marTop w:val="0"/>
                      <w:marBottom w:val="0"/>
                      <w:divBdr>
                        <w:top w:val="none" w:sz="0" w:space="0" w:color="auto"/>
                        <w:left w:val="none" w:sz="0" w:space="0" w:color="auto"/>
                        <w:bottom w:val="none" w:sz="0" w:space="0" w:color="auto"/>
                        <w:right w:val="none" w:sz="0" w:space="0" w:color="auto"/>
                      </w:divBdr>
                      <w:divsChild>
                        <w:div w:id="1629583937">
                          <w:marLeft w:val="0"/>
                          <w:marRight w:val="0"/>
                          <w:marTop w:val="120"/>
                          <w:marBottom w:val="0"/>
                          <w:divBdr>
                            <w:top w:val="none" w:sz="0" w:space="0" w:color="auto"/>
                            <w:left w:val="none" w:sz="0" w:space="0" w:color="auto"/>
                            <w:bottom w:val="none" w:sz="0" w:space="0" w:color="auto"/>
                            <w:right w:val="none" w:sz="0" w:space="0" w:color="auto"/>
                          </w:divBdr>
                          <w:divsChild>
                            <w:div w:id="16295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83940">
      <w:marLeft w:val="0"/>
      <w:marRight w:val="0"/>
      <w:marTop w:val="0"/>
      <w:marBottom w:val="0"/>
      <w:divBdr>
        <w:top w:val="none" w:sz="0" w:space="0" w:color="auto"/>
        <w:left w:val="none" w:sz="0" w:space="0" w:color="auto"/>
        <w:bottom w:val="none" w:sz="0" w:space="0" w:color="auto"/>
        <w:right w:val="none" w:sz="0" w:space="0" w:color="auto"/>
      </w:divBdr>
      <w:divsChild>
        <w:div w:id="1629583911">
          <w:marLeft w:val="0"/>
          <w:marRight w:val="0"/>
          <w:marTop w:val="100"/>
          <w:marBottom w:val="100"/>
          <w:divBdr>
            <w:top w:val="none" w:sz="0" w:space="0" w:color="auto"/>
            <w:left w:val="none" w:sz="0" w:space="0" w:color="auto"/>
            <w:bottom w:val="none" w:sz="0" w:space="0" w:color="auto"/>
            <w:right w:val="none" w:sz="0" w:space="0" w:color="auto"/>
          </w:divBdr>
          <w:divsChild>
            <w:div w:id="1629583932">
              <w:marLeft w:val="0"/>
              <w:marRight w:val="0"/>
              <w:marTop w:val="0"/>
              <w:marBottom w:val="0"/>
              <w:divBdr>
                <w:top w:val="none" w:sz="0" w:space="0" w:color="auto"/>
                <w:left w:val="none" w:sz="0" w:space="0" w:color="auto"/>
                <w:bottom w:val="none" w:sz="0" w:space="0" w:color="auto"/>
                <w:right w:val="none" w:sz="0" w:space="0" w:color="auto"/>
              </w:divBdr>
              <w:divsChild>
                <w:div w:id="1629583924">
                  <w:marLeft w:val="0"/>
                  <w:marRight w:val="0"/>
                  <w:marTop w:val="0"/>
                  <w:marBottom w:val="240"/>
                  <w:divBdr>
                    <w:top w:val="single" w:sz="6" w:space="0" w:color="8CB1BA"/>
                    <w:left w:val="single" w:sz="6" w:space="0" w:color="8CB1BA"/>
                    <w:bottom w:val="single" w:sz="6" w:space="0" w:color="8CB1BA"/>
                    <w:right w:val="single" w:sz="6" w:space="0" w:color="8CB1BA"/>
                  </w:divBdr>
                  <w:divsChild>
                    <w:div w:id="1629583913">
                      <w:marLeft w:val="0"/>
                      <w:marRight w:val="0"/>
                      <w:marTop w:val="0"/>
                      <w:marBottom w:val="0"/>
                      <w:divBdr>
                        <w:top w:val="none" w:sz="0" w:space="0" w:color="auto"/>
                        <w:left w:val="none" w:sz="0" w:space="0" w:color="auto"/>
                        <w:bottom w:val="none" w:sz="0" w:space="0" w:color="auto"/>
                        <w:right w:val="none" w:sz="0" w:space="0" w:color="auto"/>
                      </w:divBdr>
                      <w:divsChild>
                        <w:div w:id="1629583928">
                          <w:marLeft w:val="0"/>
                          <w:marRight w:val="0"/>
                          <w:marTop w:val="120"/>
                          <w:marBottom w:val="0"/>
                          <w:divBdr>
                            <w:top w:val="none" w:sz="0" w:space="0" w:color="auto"/>
                            <w:left w:val="none" w:sz="0" w:space="0" w:color="auto"/>
                            <w:bottom w:val="none" w:sz="0" w:space="0" w:color="auto"/>
                            <w:right w:val="none" w:sz="0" w:space="0" w:color="auto"/>
                          </w:divBdr>
                          <w:divsChild>
                            <w:div w:id="16295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773</Words>
  <Characters>4256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CARA CAMBIANTE DE TEOTIHUACÁN</dc:title>
  <dc:subject/>
  <dc:creator>Dr. Murray</dc:creator>
  <cp:keywords/>
  <dc:description/>
  <cp:lastModifiedBy>fernando</cp:lastModifiedBy>
  <cp:revision>2</cp:revision>
  <cp:lastPrinted>2011-06-12T18:54:00Z</cp:lastPrinted>
  <dcterms:created xsi:type="dcterms:W3CDTF">2011-06-16T19:46:00Z</dcterms:created>
  <dcterms:modified xsi:type="dcterms:W3CDTF">2011-06-16T19:46:00Z</dcterms:modified>
</cp:coreProperties>
</file>